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EC" w:rsidRDefault="0075657F" w:rsidP="00100D09">
      <w:pPr>
        <w:spacing w:after="0" w:line="240" w:lineRule="auto"/>
        <w:rPr>
          <w:b/>
          <w:sz w:val="24"/>
          <w:szCs w:val="24"/>
        </w:rPr>
      </w:pPr>
      <w:r w:rsidRPr="00161109">
        <w:rPr>
          <w:b/>
          <w:sz w:val="24"/>
          <w:szCs w:val="24"/>
        </w:rPr>
        <w:t>Lancaster University – Management Guide for European Commission Projects</w:t>
      </w:r>
    </w:p>
    <w:p w:rsidR="00100D09" w:rsidRDefault="00100D09" w:rsidP="00100D09">
      <w:pPr>
        <w:spacing w:after="0" w:line="240" w:lineRule="auto"/>
        <w:rPr>
          <w:b/>
          <w:sz w:val="24"/>
          <w:szCs w:val="24"/>
        </w:rPr>
      </w:pPr>
    </w:p>
    <w:p w:rsidR="0075657F" w:rsidRPr="005640F1" w:rsidRDefault="00161109" w:rsidP="009B0E7D">
      <w:pPr>
        <w:spacing w:after="0" w:line="240" w:lineRule="auto"/>
        <w:jc w:val="both"/>
        <w:rPr>
          <w:sz w:val="20"/>
          <w:szCs w:val="20"/>
        </w:rPr>
      </w:pPr>
      <w:r w:rsidRPr="005640F1">
        <w:rPr>
          <w:sz w:val="20"/>
          <w:szCs w:val="20"/>
        </w:rPr>
        <w:t xml:space="preserve">It is imperative when undertaking a collaborative research project that that Principal- and Co-investigators understand their obligations to the funder, the other partners and to the University. In order to do </w:t>
      </w:r>
      <w:r w:rsidR="005452CC" w:rsidRPr="005640F1">
        <w:rPr>
          <w:sz w:val="20"/>
          <w:szCs w:val="20"/>
        </w:rPr>
        <w:t>that it is important that they</w:t>
      </w:r>
      <w:r w:rsidRPr="005640F1">
        <w:rPr>
          <w:sz w:val="20"/>
          <w:szCs w:val="20"/>
        </w:rPr>
        <w:t xml:space="preserve"> are aware of the terms and conditions of their funding. For EC Framework Programme projects the </w:t>
      </w:r>
      <w:r w:rsidR="006332B3">
        <w:rPr>
          <w:sz w:val="20"/>
          <w:szCs w:val="20"/>
        </w:rPr>
        <w:t xml:space="preserve">following documents are the most important and fundamental to the project and therefore </w:t>
      </w:r>
      <w:r w:rsidRPr="005640F1">
        <w:rPr>
          <w:sz w:val="20"/>
          <w:szCs w:val="20"/>
        </w:rPr>
        <w:t xml:space="preserve">should be read </w:t>
      </w:r>
      <w:r w:rsidR="006332B3">
        <w:rPr>
          <w:sz w:val="20"/>
          <w:szCs w:val="20"/>
        </w:rPr>
        <w:t>and understood by the Principal Investigator</w:t>
      </w:r>
      <w:r w:rsidRPr="005640F1">
        <w:rPr>
          <w:sz w:val="20"/>
          <w:szCs w:val="20"/>
        </w:rPr>
        <w:t>:</w:t>
      </w:r>
    </w:p>
    <w:p w:rsidR="00100D09" w:rsidRPr="005640F1" w:rsidRDefault="00100D09" w:rsidP="009B0E7D">
      <w:pPr>
        <w:spacing w:after="0" w:line="240" w:lineRule="auto"/>
        <w:jc w:val="both"/>
        <w:rPr>
          <w:sz w:val="20"/>
          <w:szCs w:val="20"/>
        </w:rPr>
      </w:pPr>
    </w:p>
    <w:p w:rsidR="00161109" w:rsidRPr="005640F1" w:rsidRDefault="00161109" w:rsidP="009B0E7D">
      <w:pPr>
        <w:spacing w:after="0" w:line="240" w:lineRule="auto"/>
        <w:jc w:val="both"/>
        <w:rPr>
          <w:sz w:val="20"/>
          <w:szCs w:val="20"/>
        </w:rPr>
      </w:pPr>
      <w:r w:rsidRPr="005640F1">
        <w:rPr>
          <w:sz w:val="20"/>
          <w:szCs w:val="20"/>
          <w:u w:val="single"/>
        </w:rPr>
        <w:t>Grant Agreement</w:t>
      </w:r>
      <w:r w:rsidRPr="005640F1">
        <w:rPr>
          <w:sz w:val="20"/>
          <w:szCs w:val="20"/>
        </w:rPr>
        <w:t>: the contract between the coordinator and beneficiaries and the Commission</w:t>
      </w:r>
    </w:p>
    <w:p w:rsidR="00161109" w:rsidRPr="005640F1" w:rsidRDefault="00161109" w:rsidP="009B0E7D">
      <w:pPr>
        <w:spacing w:after="0" w:line="240" w:lineRule="auto"/>
        <w:jc w:val="both"/>
        <w:rPr>
          <w:sz w:val="20"/>
          <w:szCs w:val="20"/>
        </w:rPr>
      </w:pPr>
      <w:r w:rsidRPr="005640F1">
        <w:rPr>
          <w:sz w:val="20"/>
          <w:szCs w:val="20"/>
          <w:u w:val="single"/>
        </w:rPr>
        <w:t>Grant Agreement Annex I</w:t>
      </w:r>
      <w:r w:rsidRPr="005640F1">
        <w:rPr>
          <w:sz w:val="20"/>
          <w:szCs w:val="20"/>
        </w:rPr>
        <w:t xml:space="preserve"> – description of work: the work packages, milestones and deliverables are described in detail here</w:t>
      </w:r>
    </w:p>
    <w:p w:rsidR="00161109" w:rsidRPr="005640F1" w:rsidRDefault="00161109" w:rsidP="009B0E7D">
      <w:pPr>
        <w:spacing w:after="0" w:line="240" w:lineRule="auto"/>
        <w:jc w:val="both"/>
        <w:rPr>
          <w:sz w:val="20"/>
          <w:szCs w:val="20"/>
        </w:rPr>
      </w:pPr>
      <w:r w:rsidRPr="005640F1">
        <w:rPr>
          <w:sz w:val="20"/>
          <w:szCs w:val="20"/>
          <w:u w:val="single"/>
        </w:rPr>
        <w:t>Grant Agreement Annex II</w:t>
      </w:r>
      <w:r w:rsidRPr="005640F1">
        <w:rPr>
          <w:sz w:val="20"/>
          <w:szCs w:val="20"/>
        </w:rPr>
        <w:t xml:space="preserve"> – general conditions: these set out in more detail the general conditions of the funding</w:t>
      </w:r>
    </w:p>
    <w:p w:rsidR="00161109" w:rsidRDefault="005452CC" w:rsidP="009B0E7D">
      <w:pPr>
        <w:spacing w:after="0" w:line="240" w:lineRule="auto"/>
        <w:jc w:val="both"/>
        <w:rPr>
          <w:sz w:val="20"/>
          <w:szCs w:val="20"/>
        </w:rPr>
      </w:pPr>
      <w:r w:rsidRPr="005640F1">
        <w:rPr>
          <w:sz w:val="20"/>
          <w:szCs w:val="20"/>
          <w:u w:val="single"/>
        </w:rPr>
        <w:t>Consortium</w:t>
      </w:r>
      <w:r w:rsidR="00161109" w:rsidRPr="005640F1">
        <w:rPr>
          <w:sz w:val="20"/>
          <w:szCs w:val="20"/>
          <w:u w:val="single"/>
        </w:rPr>
        <w:t xml:space="preserve"> Agreement</w:t>
      </w:r>
      <w:r w:rsidR="00161109" w:rsidRPr="005640F1">
        <w:rPr>
          <w:sz w:val="20"/>
          <w:szCs w:val="20"/>
        </w:rPr>
        <w:t xml:space="preserve"> – this is the agreement between the beneficiaries and is likely to cover the management arrangements and IP ownership. It is not always mandatory.</w:t>
      </w:r>
    </w:p>
    <w:p w:rsidR="0048198B" w:rsidRPr="005640F1" w:rsidRDefault="0048198B" w:rsidP="009B0E7D">
      <w:pPr>
        <w:spacing w:after="0" w:line="240" w:lineRule="auto"/>
        <w:jc w:val="both"/>
        <w:rPr>
          <w:sz w:val="20"/>
          <w:szCs w:val="20"/>
        </w:rPr>
      </w:pPr>
    </w:p>
    <w:p w:rsidR="00AB04D2" w:rsidRPr="00AB04D2" w:rsidRDefault="0048198B" w:rsidP="00AB04D2">
      <w:pPr>
        <w:spacing w:after="0" w:line="240" w:lineRule="auto"/>
        <w:jc w:val="both"/>
        <w:rPr>
          <w:i/>
          <w:sz w:val="20"/>
          <w:szCs w:val="20"/>
        </w:rPr>
      </w:pPr>
      <w:r>
        <w:rPr>
          <w:sz w:val="20"/>
          <w:szCs w:val="20"/>
        </w:rPr>
        <w:t xml:space="preserve">In the last few year </w:t>
      </w:r>
      <w:r w:rsidRPr="0048198B">
        <w:rPr>
          <w:sz w:val="20"/>
          <w:szCs w:val="20"/>
        </w:rPr>
        <w:t xml:space="preserve">a number of European Commission audits </w:t>
      </w:r>
      <w:r>
        <w:rPr>
          <w:sz w:val="20"/>
          <w:szCs w:val="20"/>
        </w:rPr>
        <w:t>have been undertaken</w:t>
      </w:r>
      <w:r w:rsidRPr="0048198B">
        <w:rPr>
          <w:sz w:val="20"/>
          <w:szCs w:val="20"/>
        </w:rPr>
        <w:t xml:space="preserve"> </w:t>
      </w:r>
      <w:r>
        <w:rPr>
          <w:sz w:val="20"/>
          <w:szCs w:val="20"/>
        </w:rPr>
        <w:t xml:space="preserve">on Framework Programme projects awarded to Lancaster. </w:t>
      </w:r>
      <w:r w:rsidR="00AB04D2">
        <w:rPr>
          <w:sz w:val="20"/>
          <w:szCs w:val="20"/>
        </w:rPr>
        <w:t xml:space="preserve">During </w:t>
      </w:r>
      <w:r w:rsidR="006332B3">
        <w:rPr>
          <w:sz w:val="20"/>
          <w:szCs w:val="20"/>
        </w:rPr>
        <w:t>these audits</w:t>
      </w:r>
      <w:r w:rsidR="00AB04D2">
        <w:rPr>
          <w:sz w:val="20"/>
          <w:szCs w:val="20"/>
        </w:rPr>
        <w:t xml:space="preserve"> t</w:t>
      </w:r>
      <w:r w:rsidR="00AB04D2" w:rsidRPr="00AB04D2">
        <w:rPr>
          <w:sz w:val="20"/>
          <w:szCs w:val="20"/>
        </w:rPr>
        <w:t xml:space="preserve">he Commission auditors examine in detail </w:t>
      </w:r>
      <w:r w:rsidR="00AB04D2">
        <w:rPr>
          <w:sz w:val="20"/>
          <w:szCs w:val="20"/>
        </w:rPr>
        <w:t xml:space="preserve">the </w:t>
      </w:r>
      <w:r w:rsidR="00AB04D2" w:rsidRPr="00AB04D2">
        <w:rPr>
          <w:sz w:val="20"/>
          <w:szCs w:val="20"/>
        </w:rPr>
        <w:t>financial records</w:t>
      </w:r>
      <w:r w:rsidR="006332B3">
        <w:rPr>
          <w:sz w:val="20"/>
          <w:szCs w:val="20"/>
        </w:rPr>
        <w:t xml:space="preserve"> for the projects</w:t>
      </w:r>
      <w:r w:rsidR="00AB04D2">
        <w:rPr>
          <w:sz w:val="20"/>
          <w:szCs w:val="20"/>
        </w:rPr>
        <w:t xml:space="preserve"> together with the supporting evidence</w:t>
      </w:r>
      <w:r w:rsidR="00AB04D2" w:rsidRPr="00AB04D2">
        <w:rPr>
          <w:sz w:val="20"/>
          <w:szCs w:val="20"/>
        </w:rPr>
        <w:t xml:space="preserve"> i.e. paper copies of expense claims and their receipts</w:t>
      </w:r>
      <w:r w:rsidR="00AB04D2">
        <w:rPr>
          <w:sz w:val="20"/>
          <w:szCs w:val="20"/>
        </w:rPr>
        <w:t xml:space="preserve">, lists of project meeting and the attendee, meeting agendas, etc. </w:t>
      </w:r>
      <w:r>
        <w:rPr>
          <w:sz w:val="20"/>
          <w:szCs w:val="20"/>
        </w:rPr>
        <w:t xml:space="preserve">The audit findings have identified a number of common errors that occur on the projects. </w:t>
      </w:r>
      <w:r w:rsidR="003E6F86">
        <w:rPr>
          <w:sz w:val="20"/>
          <w:szCs w:val="20"/>
        </w:rPr>
        <w:t>Commission audits may be initiated u</w:t>
      </w:r>
      <w:r w:rsidR="006C6164">
        <w:rPr>
          <w:sz w:val="20"/>
          <w:szCs w:val="20"/>
        </w:rPr>
        <w:t>p</w:t>
      </w:r>
      <w:r w:rsidR="003E6F86">
        <w:rPr>
          <w:sz w:val="20"/>
          <w:szCs w:val="20"/>
        </w:rPr>
        <w:t xml:space="preserve"> to five years after the end of a project. </w:t>
      </w:r>
      <w:r>
        <w:rPr>
          <w:sz w:val="20"/>
          <w:szCs w:val="20"/>
        </w:rPr>
        <w:t xml:space="preserve">In order to help principal investigators manage their projects, promote best practice and mitigate the chances of expenditure being disallowed by the Commission there follows some </w:t>
      </w:r>
      <w:r w:rsidR="00AB04D2">
        <w:rPr>
          <w:sz w:val="20"/>
          <w:szCs w:val="20"/>
        </w:rPr>
        <w:t>essential guidance.</w:t>
      </w:r>
      <w:r w:rsidR="00AB04D2" w:rsidRPr="00AB04D2">
        <w:rPr>
          <w:i/>
          <w:sz w:val="20"/>
          <w:szCs w:val="20"/>
        </w:rPr>
        <w:t xml:space="preserve"> </w:t>
      </w:r>
    </w:p>
    <w:p w:rsidR="00100D09" w:rsidRDefault="00100D09" w:rsidP="009B0E7D">
      <w:pPr>
        <w:spacing w:after="0" w:line="240" w:lineRule="auto"/>
        <w:jc w:val="both"/>
        <w:rPr>
          <w:sz w:val="20"/>
          <w:szCs w:val="20"/>
        </w:rPr>
      </w:pPr>
    </w:p>
    <w:p w:rsidR="00161109" w:rsidRPr="005640F1" w:rsidRDefault="000F031D" w:rsidP="009B0E7D">
      <w:pPr>
        <w:spacing w:after="0" w:line="240" w:lineRule="auto"/>
        <w:jc w:val="both"/>
        <w:rPr>
          <w:b/>
          <w:sz w:val="20"/>
          <w:szCs w:val="20"/>
        </w:rPr>
      </w:pPr>
      <w:r w:rsidRPr="005640F1">
        <w:rPr>
          <w:b/>
          <w:sz w:val="20"/>
          <w:szCs w:val="20"/>
        </w:rPr>
        <w:t>Eligible Costs</w:t>
      </w:r>
    </w:p>
    <w:p w:rsidR="000F031D" w:rsidRPr="005640F1" w:rsidRDefault="000F031D" w:rsidP="009B0E7D">
      <w:pPr>
        <w:spacing w:after="0" w:line="240" w:lineRule="auto"/>
        <w:jc w:val="both"/>
        <w:rPr>
          <w:sz w:val="20"/>
          <w:szCs w:val="20"/>
        </w:rPr>
      </w:pPr>
      <w:r w:rsidRPr="005640F1">
        <w:rPr>
          <w:sz w:val="20"/>
          <w:szCs w:val="20"/>
        </w:rPr>
        <w:t xml:space="preserve">The overriding principle is that in order to be considered </w:t>
      </w:r>
      <w:r w:rsidR="00040FA1" w:rsidRPr="005640F1">
        <w:rPr>
          <w:sz w:val="20"/>
          <w:szCs w:val="20"/>
        </w:rPr>
        <w:t>eligible</w:t>
      </w:r>
      <w:r w:rsidR="00100D09" w:rsidRPr="005640F1">
        <w:rPr>
          <w:sz w:val="20"/>
          <w:szCs w:val="20"/>
        </w:rPr>
        <w:t xml:space="preserve"> for reimbursement by the </w:t>
      </w:r>
      <w:r w:rsidRPr="005640F1">
        <w:rPr>
          <w:sz w:val="20"/>
          <w:szCs w:val="20"/>
        </w:rPr>
        <w:t>Commission</w:t>
      </w:r>
      <w:r w:rsidR="009B0E7D">
        <w:rPr>
          <w:sz w:val="20"/>
          <w:szCs w:val="20"/>
        </w:rPr>
        <w:t>,</w:t>
      </w:r>
      <w:r w:rsidRPr="005640F1">
        <w:rPr>
          <w:sz w:val="20"/>
          <w:szCs w:val="20"/>
        </w:rPr>
        <w:t xml:space="preserve"> costs must be:</w:t>
      </w:r>
    </w:p>
    <w:p w:rsidR="000F031D" w:rsidRPr="005640F1" w:rsidRDefault="000F031D" w:rsidP="009B0E7D">
      <w:pPr>
        <w:spacing w:after="0" w:line="240" w:lineRule="auto"/>
        <w:jc w:val="both"/>
        <w:rPr>
          <w:sz w:val="20"/>
          <w:szCs w:val="20"/>
        </w:rPr>
      </w:pPr>
      <w:r w:rsidRPr="005640F1">
        <w:rPr>
          <w:sz w:val="20"/>
          <w:szCs w:val="20"/>
        </w:rPr>
        <w:t xml:space="preserve"> </w:t>
      </w:r>
      <w:r w:rsidRPr="009B0E7D">
        <w:rPr>
          <w:i/>
          <w:sz w:val="20"/>
          <w:szCs w:val="20"/>
        </w:rPr>
        <w:t>Actual</w:t>
      </w:r>
      <w:r w:rsidRPr="005640F1">
        <w:rPr>
          <w:sz w:val="20"/>
          <w:szCs w:val="20"/>
        </w:rPr>
        <w:t xml:space="preserve"> –</w:t>
      </w:r>
      <w:r w:rsidR="00530FB7" w:rsidRPr="005640F1">
        <w:rPr>
          <w:sz w:val="20"/>
          <w:szCs w:val="20"/>
        </w:rPr>
        <w:t xml:space="preserve"> real costs, with supporting documentation, </w:t>
      </w:r>
      <w:r w:rsidR="00100D09" w:rsidRPr="005640F1">
        <w:rPr>
          <w:sz w:val="20"/>
          <w:szCs w:val="20"/>
        </w:rPr>
        <w:t xml:space="preserve">that </w:t>
      </w:r>
      <w:r w:rsidR="00040FA1" w:rsidRPr="005640F1">
        <w:rPr>
          <w:sz w:val="20"/>
          <w:szCs w:val="20"/>
        </w:rPr>
        <w:t>app</w:t>
      </w:r>
      <w:r w:rsidRPr="005640F1">
        <w:rPr>
          <w:sz w:val="20"/>
          <w:szCs w:val="20"/>
        </w:rPr>
        <w:t>ear in our accounts</w:t>
      </w:r>
      <w:r w:rsidR="00040FA1" w:rsidRPr="005640F1">
        <w:rPr>
          <w:sz w:val="20"/>
          <w:szCs w:val="20"/>
        </w:rPr>
        <w:t xml:space="preserve"> and </w:t>
      </w:r>
      <w:r w:rsidR="00100D09" w:rsidRPr="005640F1">
        <w:rPr>
          <w:sz w:val="20"/>
          <w:szCs w:val="20"/>
        </w:rPr>
        <w:t xml:space="preserve">are </w:t>
      </w:r>
      <w:r w:rsidR="00040FA1" w:rsidRPr="005640F1">
        <w:rPr>
          <w:sz w:val="20"/>
          <w:szCs w:val="20"/>
        </w:rPr>
        <w:t>incurred during the period of the project (with the exception of costs incurred in relation to the final reports and audit costs that occur after the end of the project).</w:t>
      </w:r>
      <w:r w:rsidR="00530FB7" w:rsidRPr="005640F1">
        <w:rPr>
          <w:sz w:val="20"/>
          <w:szCs w:val="20"/>
        </w:rPr>
        <w:t xml:space="preserve"> </w:t>
      </w:r>
    </w:p>
    <w:p w:rsidR="000F031D" w:rsidRPr="005640F1" w:rsidRDefault="00530FB7" w:rsidP="009B0E7D">
      <w:pPr>
        <w:jc w:val="both"/>
        <w:rPr>
          <w:sz w:val="20"/>
          <w:szCs w:val="20"/>
        </w:rPr>
      </w:pPr>
      <w:r w:rsidRPr="009B0E7D">
        <w:rPr>
          <w:i/>
          <w:sz w:val="20"/>
          <w:szCs w:val="20"/>
        </w:rPr>
        <w:t>Necessary</w:t>
      </w:r>
      <w:r w:rsidRPr="005640F1">
        <w:rPr>
          <w:sz w:val="20"/>
          <w:szCs w:val="20"/>
        </w:rPr>
        <w:t xml:space="preserve"> - used for the sole purpose of achieving the project objectives and expected results</w:t>
      </w:r>
    </w:p>
    <w:p w:rsidR="0075657F" w:rsidRPr="005640F1" w:rsidRDefault="003E6312" w:rsidP="009B0E7D">
      <w:pPr>
        <w:spacing w:after="0" w:line="240" w:lineRule="auto"/>
        <w:jc w:val="both"/>
        <w:rPr>
          <w:b/>
          <w:sz w:val="20"/>
          <w:szCs w:val="20"/>
        </w:rPr>
      </w:pPr>
      <w:r w:rsidRPr="005640F1">
        <w:rPr>
          <w:b/>
          <w:sz w:val="20"/>
          <w:szCs w:val="20"/>
        </w:rPr>
        <w:t>Timesheets</w:t>
      </w:r>
    </w:p>
    <w:p w:rsidR="0075657F" w:rsidRPr="005640F1" w:rsidRDefault="00453A3F" w:rsidP="009B0E7D">
      <w:pPr>
        <w:jc w:val="both"/>
        <w:rPr>
          <w:sz w:val="20"/>
          <w:szCs w:val="20"/>
        </w:rPr>
      </w:pPr>
      <w:r w:rsidRPr="008C0E05">
        <w:rPr>
          <w:i/>
          <w:sz w:val="20"/>
          <w:szCs w:val="20"/>
        </w:rPr>
        <w:t>A</w:t>
      </w:r>
      <w:r w:rsidR="008C0E05" w:rsidRPr="008C0E05">
        <w:rPr>
          <w:i/>
          <w:sz w:val="20"/>
          <w:szCs w:val="20"/>
        </w:rPr>
        <w:t>ll</w:t>
      </w:r>
      <w:r w:rsidRPr="008C0E05">
        <w:rPr>
          <w:sz w:val="20"/>
          <w:szCs w:val="20"/>
        </w:rPr>
        <w:t xml:space="preserve"> staff</w:t>
      </w:r>
      <w:r w:rsidR="005640F1" w:rsidRPr="005640F1">
        <w:rPr>
          <w:sz w:val="20"/>
          <w:szCs w:val="20"/>
        </w:rPr>
        <w:t>, whether</w:t>
      </w:r>
      <w:r w:rsidRPr="005640F1">
        <w:rPr>
          <w:sz w:val="20"/>
          <w:szCs w:val="20"/>
        </w:rPr>
        <w:t xml:space="preserve"> </w:t>
      </w:r>
      <w:r w:rsidR="005640F1" w:rsidRPr="005640F1">
        <w:rPr>
          <w:sz w:val="20"/>
          <w:szCs w:val="20"/>
        </w:rPr>
        <w:t>permanent academic staff, fixed term researchers or technic</w:t>
      </w:r>
      <w:r w:rsidR="008C0E05">
        <w:rPr>
          <w:sz w:val="20"/>
          <w:szCs w:val="20"/>
        </w:rPr>
        <w:t>al/clerical</w:t>
      </w:r>
      <w:r w:rsidR="005640F1" w:rsidRPr="005640F1">
        <w:rPr>
          <w:sz w:val="20"/>
          <w:szCs w:val="20"/>
        </w:rPr>
        <w:t xml:space="preserve">, </w:t>
      </w:r>
      <w:r w:rsidRPr="005640F1">
        <w:rPr>
          <w:sz w:val="20"/>
          <w:szCs w:val="20"/>
        </w:rPr>
        <w:t xml:space="preserve">working on an EU project </w:t>
      </w:r>
      <w:r w:rsidR="005640F1">
        <w:rPr>
          <w:sz w:val="20"/>
          <w:szCs w:val="20"/>
        </w:rPr>
        <w:t xml:space="preserve">and </w:t>
      </w:r>
      <w:r w:rsidRPr="005640F1">
        <w:rPr>
          <w:sz w:val="20"/>
          <w:szCs w:val="20"/>
        </w:rPr>
        <w:t>whose costs are being claimed must complete timesheets</w:t>
      </w:r>
      <w:r w:rsidR="00690BE2">
        <w:rPr>
          <w:rStyle w:val="FootnoteReference"/>
          <w:sz w:val="20"/>
          <w:szCs w:val="20"/>
        </w:rPr>
        <w:footnoteReference w:id="1"/>
      </w:r>
      <w:r w:rsidR="009B0E7D">
        <w:rPr>
          <w:sz w:val="20"/>
          <w:szCs w:val="20"/>
        </w:rPr>
        <w:t>. These timesheets, together with employment contracts held in HR, are considered to be the necessary supporting documentation</w:t>
      </w:r>
      <w:r w:rsidRPr="005640F1">
        <w:rPr>
          <w:sz w:val="20"/>
          <w:szCs w:val="20"/>
        </w:rPr>
        <w:t xml:space="preserve"> </w:t>
      </w:r>
      <w:r w:rsidR="009B0E7D">
        <w:rPr>
          <w:sz w:val="20"/>
          <w:szCs w:val="20"/>
        </w:rPr>
        <w:t>to evidence</w:t>
      </w:r>
      <w:r w:rsidRPr="005640F1">
        <w:rPr>
          <w:sz w:val="20"/>
          <w:szCs w:val="20"/>
        </w:rPr>
        <w:t xml:space="preserve"> the actual </w:t>
      </w:r>
      <w:r w:rsidR="005452CC" w:rsidRPr="005640F1">
        <w:rPr>
          <w:sz w:val="20"/>
          <w:szCs w:val="20"/>
        </w:rPr>
        <w:t xml:space="preserve">productive </w:t>
      </w:r>
      <w:r w:rsidR="005640F1" w:rsidRPr="005640F1">
        <w:rPr>
          <w:sz w:val="20"/>
          <w:szCs w:val="20"/>
        </w:rPr>
        <w:t xml:space="preserve">hours worked. </w:t>
      </w:r>
      <w:r w:rsidR="009B0E7D">
        <w:rPr>
          <w:sz w:val="20"/>
          <w:szCs w:val="20"/>
        </w:rPr>
        <w:t xml:space="preserve">There are </w:t>
      </w:r>
      <w:r w:rsidRPr="005640F1">
        <w:rPr>
          <w:sz w:val="20"/>
          <w:szCs w:val="20"/>
        </w:rPr>
        <w:t>sample t</w:t>
      </w:r>
      <w:r w:rsidR="009B0E7D">
        <w:rPr>
          <w:sz w:val="20"/>
          <w:szCs w:val="20"/>
        </w:rPr>
        <w:t>imesheet t</w:t>
      </w:r>
      <w:r w:rsidRPr="005640F1">
        <w:rPr>
          <w:sz w:val="20"/>
          <w:szCs w:val="20"/>
        </w:rPr>
        <w:t xml:space="preserve">emplates available on the RSO website </w:t>
      </w:r>
      <w:r w:rsidR="005640F1" w:rsidRPr="005640F1">
        <w:rPr>
          <w:sz w:val="20"/>
          <w:szCs w:val="20"/>
        </w:rPr>
        <w:t xml:space="preserve">for this purpose </w:t>
      </w:r>
      <w:r w:rsidRPr="005640F1">
        <w:rPr>
          <w:sz w:val="20"/>
          <w:szCs w:val="20"/>
        </w:rPr>
        <w:t>(</w:t>
      </w:r>
      <w:hyperlink r:id="rId9" w:history="1">
        <w:r w:rsidRPr="005640F1">
          <w:rPr>
            <w:rStyle w:val="Hyperlink"/>
            <w:sz w:val="20"/>
            <w:szCs w:val="20"/>
          </w:rPr>
          <w:t>http://www.lancs.ac.uk/depts/research/lancaster/forms.html</w:t>
        </w:r>
      </w:hyperlink>
      <w:r w:rsidRPr="005640F1">
        <w:rPr>
          <w:sz w:val="20"/>
          <w:szCs w:val="20"/>
        </w:rPr>
        <w:t xml:space="preserve">). </w:t>
      </w:r>
    </w:p>
    <w:p w:rsidR="005640F1" w:rsidRDefault="005640F1" w:rsidP="009B0E7D">
      <w:pPr>
        <w:jc w:val="both"/>
        <w:rPr>
          <w:rFonts w:eastAsia="Times New Roman" w:cs="Arial"/>
          <w:sz w:val="20"/>
          <w:szCs w:val="20"/>
          <w:lang w:eastAsia="en-GB"/>
        </w:rPr>
      </w:pPr>
      <w:r w:rsidRPr="009B0E7D">
        <w:rPr>
          <w:rFonts w:eastAsia="Times New Roman" w:cs="Arial"/>
          <w:bCs/>
          <w:sz w:val="20"/>
          <w:szCs w:val="20"/>
          <w:u w:val="single"/>
          <w:lang w:eastAsia="en-GB"/>
        </w:rPr>
        <w:t>Completing the time sheet</w:t>
      </w:r>
      <w:r w:rsidR="005707D7" w:rsidRPr="009B0E7D">
        <w:rPr>
          <w:sz w:val="20"/>
          <w:szCs w:val="20"/>
        </w:rPr>
        <w:t xml:space="preserve"> - </w:t>
      </w:r>
      <w:r w:rsidRPr="009B0E7D">
        <w:rPr>
          <w:sz w:val="20"/>
          <w:szCs w:val="20"/>
        </w:rPr>
        <w:t>It</w:t>
      </w:r>
      <w:r w:rsidRPr="005640F1">
        <w:rPr>
          <w:sz w:val="20"/>
          <w:szCs w:val="20"/>
        </w:rPr>
        <w:t xml:space="preserve"> is important that 100% of the working time is recorded against activities being undertaken</w:t>
      </w:r>
      <w:r>
        <w:rPr>
          <w:sz w:val="20"/>
          <w:szCs w:val="20"/>
        </w:rPr>
        <w:t xml:space="preserve"> and therefore </w:t>
      </w:r>
      <w:r w:rsidR="009B0E7D">
        <w:rPr>
          <w:sz w:val="20"/>
          <w:szCs w:val="20"/>
        </w:rPr>
        <w:t xml:space="preserve">the </w:t>
      </w:r>
      <w:r>
        <w:rPr>
          <w:sz w:val="20"/>
          <w:szCs w:val="20"/>
        </w:rPr>
        <w:t>t</w:t>
      </w:r>
      <w:r w:rsidRPr="005640F1">
        <w:rPr>
          <w:rFonts w:eastAsia="Times New Roman" w:cs="Arial"/>
          <w:sz w:val="20"/>
          <w:szCs w:val="20"/>
          <w:lang w:eastAsia="en-GB"/>
        </w:rPr>
        <w:t>ime spent should be identified by the activity - e.g. 'Research' or 'Management'</w:t>
      </w:r>
      <w:r>
        <w:rPr>
          <w:rFonts w:eastAsia="Times New Roman" w:cs="Arial"/>
          <w:sz w:val="20"/>
          <w:szCs w:val="20"/>
          <w:lang w:eastAsia="en-GB"/>
        </w:rPr>
        <w:t xml:space="preserve">. </w:t>
      </w:r>
      <w:r w:rsidR="005707D7">
        <w:rPr>
          <w:rFonts w:eastAsia="Times New Roman" w:cs="Arial"/>
          <w:sz w:val="20"/>
          <w:szCs w:val="20"/>
          <w:lang w:eastAsia="en-GB"/>
        </w:rPr>
        <w:t>No</w:t>
      </w:r>
      <w:r w:rsidRPr="005640F1">
        <w:rPr>
          <w:rFonts w:eastAsia="Times New Roman" w:cs="Arial"/>
          <w:sz w:val="20"/>
          <w:szCs w:val="20"/>
          <w:lang w:eastAsia="en-GB"/>
        </w:rPr>
        <w:t>n-FP7 project activities (e.g. other research, teaching, admin, etc) must be included as a separate 'project'</w:t>
      </w:r>
      <w:r w:rsidR="005707D7">
        <w:rPr>
          <w:rFonts w:eastAsia="Times New Roman" w:cs="Arial"/>
          <w:sz w:val="20"/>
          <w:szCs w:val="20"/>
          <w:lang w:eastAsia="en-GB"/>
        </w:rPr>
        <w:t xml:space="preserve"> so that </w:t>
      </w:r>
      <w:r w:rsidRPr="005640F1">
        <w:rPr>
          <w:rFonts w:eastAsia="Times New Roman" w:cs="Arial"/>
          <w:sz w:val="20"/>
          <w:szCs w:val="20"/>
          <w:lang w:eastAsia="en-GB"/>
        </w:rPr>
        <w:t>the total amount of hours worked (productive hours)</w:t>
      </w:r>
      <w:r w:rsidR="005707D7">
        <w:rPr>
          <w:rFonts w:eastAsia="Times New Roman" w:cs="Arial"/>
          <w:sz w:val="20"/>
          <w:szCs w:val="20"/>
          <w:lang w:eastAsia="en-GB"/>
        </w:rPr>
        <w:t xml:space="preserve"> on the EU project can be identified</w:t>
      </w:r>
      <w:r w:rsidRPr="005640F1">
        <w:rPr>
          <w:rFonts w:eastAsia="Times New Roman" w:cs="Arial"/>
          <w:sz w:val="20"/>
          <w:szCs w:val="20"/>
          <w:lang w:eastAsia="en-GB"/>
        </w:rPr>
        <w:t>.</w:t>
      </w:r>
      <w:r w:rsidRPr="005640F1">
        <w:rPr>
          <w:sz w:val="20"/>
          <w:szCs w:val="20"/>
        </w:rPr>
        <w:t xml:space="preserve"> </w:t>
      </w:r>
      <w:r w:rsidR="005707D7">
        <w:rPr>
          <w:sz w:val="20"/>
          <w:szCs w:val="20"/>
        </w:rPr>
        <w:t xml:space="preserve"> Staff should complete their timesheets </w:t>
      </w:r>
      <w:r w:rsidRPr="005640F1">
        <w:rPr>
          <w:rFonts w:eastAsia="Times New Roman" w:cs="Arial"/>
          <w:sz w:val="20"/>
          <w:szCs w:val="20"/>
          <w:lang w:eastAsia="en-GB"/>
        </w:rPr>
        <w:t xml:space="preserve">on </w:t>
      </w:r>
      <w:r w:rsidR="005707D7">
        <w:rPr>
          <w:rFonts w:eastAsia="Times New Roman" w:cs="Arial"/>
          <w:sz w:val="20"/>
          <w:szCs w:val="20"/>
          <w:lang w:eastAsia="en-GB"/>
        </w:rPr>
        <w:t xml:space="preserve">a </w:t>
      </w:r>
      <w:r w:rsidRPr="005640F1">
        <w:rPr>
          <w:rFonts w:eastAsia="Times New Roman" w:cs="Arial"/>
          <w:sz w:val="20"/>
          <w:szCs w:val="20"/>
          <w:lang w:eastAsia="en-GB"/>
        </w:rPr>
        <w:t>regular basis</w:t>
      </w:r>
      <w:r w:rsidR="005707D7">
        <w:rPr>
          <w:rFonts w:eastAsia="Times New Roman" w:cs="Arial"/>
          <w:sz w:val="20"/>
          <w:szCs w:val="20"/>
          <w:lang w:eastAsia="en-GB"/>
        </w:rPr>
        <w:t xml:space="preserve"> and sign each monthly record. The timesheet should then be passed to the </w:t>
      </w:r>
      <w:r w:rsidR="005707D7" w:rsidRPr="005640F1">
        <w:rPr>
          <w:rFonts w:eastAsia="Times New Roman" w:cs="Arial"/>
          <w:sz w:val="20"/>
          <w:szCs w:val="20"/>
          <w:lang w:eastAsia="en-GB"/>
        </w:rPr>
        <w:t>Principal Investigator</w:t>
      </w:r>
      <w:r w:rsidR="005707D7">
        <w:rPr>
          <w:rFonts w:eastAsia="Times New Roman" w:cs="Arial"/>
          <w:sz w:val="20"/>
          <w:szCs w:val="20"/>
          <w:lang w:eastAsia="en-GB"/>
        </w:rPr>
        <w:t xml:space="preserve"> for </w:t>
      </w:r>
      <w:r w:rsidR="005707D7" w:rsidRPr="005640F1">
        <w:rPr>
          <w:rFonts w:eastAsia="Times New Roman" w:cs="Arial"/>
          <w:sz w:val="20"/>
          <w:szCs w:val="20"/>
          <w:lang w:eastAsia="en-GB"/>
        </w:rPr>
        <w:t>check</w:t>
      </w:r>
      <w:r w:rsidR="005707D7">
        <w:rPr>
          <w:rFonts w:eastAsia="Times New Roman" w:cs="Arial"/>
          <w:sz w:val="20"/>
          <w:szCs w:val="20"/>
          <w:lang w:eastAsia="en-GB"/>
        </w:rPr>
        <w:t>ing and for signing</w:t>
      </w:r>
      <w:r w:rsidR="005707D7" w:rsidRPr="005640F1">
        <w:rPr>
          <w:rFonts w:eastAsia="Times New Roman" w:cs="Arial"/>
          <w:sz w:val="20"/>
          <w:szCs w:val="20"/>
          <w:lang w:eastAsia="en-GB"/>
        </w:rPr>
        <w:t xml:space="preserve">. </w:t>
      </w:r>
      <w:r w:rsidRPr="005640F1">
        <w:rPr>
          <w:rFonts w:eastAsia="Times New Roman" w:cs="Arial"/>
          <w:sz w:val="20"/>
          <w:szCs w:val="20"/>
          <w:lang w:eastAsia="en-GB"/>
        </w:rPr>
        <w:t>Time spent on annual leave, sickness leave and statutory/customary holidays must also be recorded e.g. bank holidays, University closure days.</w:t>
      </w:r>
      <w:r w:rsidRPr="005640F1">
        <w:rPr>
          <w:rFonts w:eastAsia="Times New Roman" w:cs="Arial"/>
          <w:b/>
          <w:bCs/>
          <w:sz w:val="20"/>
          <w:szCs w:val="20"/>
          <w:lang w:eastAsia="en-GB"/>
        </w:rPr>
        <w:t xml:space="preserve"> </w:t>
      </w:r>
      <w:r w:rsidR="009B0E7D">
        <w:rPr>
          <w:rFonts w:eastAsia="Times New Roman" w:cs="Arial"/>
          <w:sz w:val="20"/>
          <w:szCs w:val="20"/>
          <w:lang w:eastAsia="en-GB"/>
        </w:rPr>
        <w:t>T</w:t>
      </w:r>
      <w:r w:rsidRPr="005640F1">
        <w:rPr>
          <w:rFonts w:eastAsia="Times New Roman" w:cs="Arial"/>
          <w:sz w:val="20"/>
          <w:szCs w:val="20"/>
          <w:lang w:eastAsia="en-GB"/>
        </w:rPr>
        <w:t xml:space="preserve">he </w:t>
      </w:r>
      <w:r w:rsidR="009B0E7D">
        <w:rPr>
          <w:rFonts w:eastAsia="Times New Roman" w:cs="Arial"/>
          <w:sz w:val="20"/>
          <w:szCs w:val="20"/>
          <w:lang w:eastAsia="en-GB"/>
        </w:rPr>
        <w:t xml:space="preserve">Principal Investigator’s own </w:t>
      </w:r>
      <w:r w:rsidRPr="005640F1">
        <w:rPr>
          <w:rFonts w:eastAsia="Times New Roman" w:cs="Arial"/>
          <w:sz w:val="20"/>
          <w:szCs w:val="20"/>
          <w:lang w:eastAsia="en-GB"/>
        </w:rPr>
        <w:t xml:space="preserve">timesheet </w:t>
      </w:r>
      <w:r w:rsidR="009B0E7D">
        <w:rPr>
          <w:rFonts w:eastAsia="Times New Roman" w:cs="Arial"/>
          <w:sz w:val="20"/>
          <w:szCs w:val="20"/>
          <w:lang w:eastAsia="en-GB"/>
        </w:rPr>
        <w:t>should be checked and signed-off by</w:t>
      </w:r>
      <w:r w:rsidRPr="005640F1">
        <w:rPr>
          <w:rFonts w:eastAsia="Times New Roman" w:cs="Arial"/>
          <w:sz w:val="20"/>
          <w:szCs w:val="20"/>
          <w:lang w:eastAsia="en-GB"/>
        </w:rPr>
        <w:t xml:space="preserve"> their HoD</w:t>
      </w:r>
      <w:r w:rsidR="009B0E7D">
        <w:rPr>
          <w:rFonts w:eastAsia="Times New Roman" w:cs="Arial"/>
          <w:sz w:val="20"/>
          <w:szCs w:val="20"/>
          <w:lang w:eastAsia="en-GB"/>
        </w:rPr>
        <w:t>.</w:t>
      </w:r>
      <w:r w:rsidR="005707D7">
        <w:rPr>
          <w:rFonts w:eastAsia="Times New Roman" w:cs="Arial"/>
          <w:sz w:val="20"/>
          <w:szCs w:val="20"/>
          <w:lang w:eastAsia="en-GB"/>
        </w:rPr>
        <w:t xml:space="preserve"> Completed and authorised time</w:t>
      </w:r>
      <w:r w:rsidRPr="005640F1">
        <w:rPr>
          <w:rFonts w:eastAsia="Times New Roman" w:cs="Arial"/>
          <w:sz w:val="20"/>
          <w:szCs w:val="20"/>
          <w:lang w:eastAsia="en-GB"/>
        </w:rPr>
        <w:t xml:space="preserve">sheets should be collected and stored by the department or project administrator </w:t>
      </w:r>
      <w:r w:rsidR="005707D7">
        <w:rPr>
          <w:rFonts w:eastAsia="Times New Roman" w:cs="Arial"/>
          <w:sz w:val="20"/>
          <w:szCs w:val="20"/>
          <w:lang w:eastAsia="en-GB"/>
        </w:rPr>
        <w:t xml:space="preserve">and a </w:t>
      </w:r>
      <w:r w:rsidRPr="005640F1">
        <w:rPr>
          <w:rFonts w:eastAsia="Times New Roman" w:cs="Arial"/>
          <w:sz w:val="20"/>
          <w:szCs w:val="20"/>
          <w:lang w:eastAsia="en-GB"/>
        </w:rPr>
        <w:t>copy of the timesheets should be sent to central RSO</w:t>
      </w:r>
      <w:r w:rsidR="005707D7">
        <w:rPr>
          <w:rFonts w:eastAsia="Times New Roman" w:cs="Arial"/>
          <w:sz w:val="20"/>
          <w:szCs w:val="20"/>
          <w:lang w:eastAsia="en-GB"/>
        </w:rPr>
        <w:t>.</w:t>
      </w:r>
    </w:p>
    <w:p w:rsidR="005707D7" w:rsidRPr="005640F1" w:rsidRDefault="009B0E7D" w:rsidP="009B0E7D">
      <w:pPr>
        <w:jc w:val="both"/>
        <w:rPr>
          <w:rFonts w:eastAsia="Times New Roman" w:cs="Arial"/>
          <w:sz w:val="20"/>
          <w:szCs w:val="20"/>
          <w:lang w:eastAsia="en-GB"/>
        </w:rPr>
      </w:pPr>
      <w:r>
        <w:rPr>
          <w:rFonts w:eastAsia="Times New Roman" w:cs="Arial"/>
          <w:sz w:val="20"/>
          <w:szCs w:val="20"/>
          <w:lang w:eastAsia="en-GB"/>
        </w:rPr>
        <w:t>For information the c</w:t>
      </w:r>
      <w:r w:rsidR="005707D7">
        <w:rPr>
          <w:rFonts w:eastAsia="Times New Roman" w:cs="Arial"/>
          <w:sz w:val="20"/>
          <w:szCs w:val="20"/>
          <w:lang w:eastAsia="en-GB"/>
        </w:rPr>
        <w:t>alculation of productive hours for Lancaster University</w:t>
      </w:r>
      <w:r>
        <w:rPr>
          <w:rFonts w:eastAsia="Times New Roman" w:cs="Arial"/>
          <w:sz w:val="20"/>
          <w:szCs w:val="20"/>
          <w:lang w:eastAsia="en-GB"/>
        </w:rPr>
        <w:t xml:space="preserve"> is:</w:t>
      </w:r>
    </w:p>
    <w:tbl>
      <w:tblPr>
        <w:tblW w:w="39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1460"/>
      </w:tblGrid>
      <w:tr w:rsidR="005640F1" w:rsidRPr="005640F1" w:rsidTr="005707D7">
        <w:trPr>
          <w:trHeight w:val="255"/>
        </w:trPr>
        <w:tc>
          <w:tcPr>
            <w:tcW w:w="250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Days in a year</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365</w:t>
            </w:r>
          </w:p>
        </w:tc>
      </w:tr>
      <w:tr w:rsidR="005640F1" w:rsidRPr="005640F1" w:rsidTr="005707D7">
        <w:trPr>
          <w:trHeight w:val="255"/>
        </w:trPr>
        <w:tc>
          <w:tcPr>
            <w:tcW w:w="250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lastRenderedPageBreak/>
              <w:t>Weekends</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-104</w:t>
            </w:r>
          </w:p>
        </w:tc>
      </w:tr>
      <w:tr w:rsidR="005640F1" w:rsidRPr="005640F1" w:rsidTr="005707D7">
        <w:trPr>
          <w:trHeight w:val="255"/>
        </w:trPr>
        <w:tc>
          <w:tcPr>
            <w:tcW w:w="250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Annual leave</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-25</w:t>
            </w:r>
          </w:p>
        </w:tc>
      </w:tr>
      <w:tr w:rsidR="005640F1" w:rsidRPr="005640F1" w:rsidTr="005707D7">
        <w:trPr>
          <w:trHeight w:val="255"/>
        </w:trPr>
        <w:tc>
          <w:tcPr>
            <w:tcW w:w="2500" w:type="dxa"/>
            <w:shd w:val="clear" w:color="auto" w:fill="auto"/>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University closure days</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-6</w:t>
            </w:r>
          </w:p>
        </w:tc>
      </w:tr>
      <w:tr w:rsidR="005640F1" w:rsidRPr="005640F1" w:rsidTr="005707D7">
        <w:trPr>
          <w:trHeight w:val="255"/>
        </w:trPr>
        <w:tc>
          <w:tcPr>
            <w:tcW w:w="2500" w:type="dxa"/>
            <w:shd w:val="clear" w:color="auto" w:fill="auto"/>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Statutory Bank Holidays</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-8</w:t>
            </w:r>
          </w:p>
        </w:tc>
      </w:tr>
      <w:tr w:rsidR="005640F1" w:rsidRPr="005640F1" w:rsidTr="005707D7">
        <w:trPr>
          <w:trHeight w:val="255"/>
        </w:trPr>
        <w:tc>
          <w:tcPr>
            <w:tcW w:w="250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Illness</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-8</w:t>
            </w:r>
          </w:p>
        </w:tc>
      </w:tr>
      <w:tr w:rsidR="005640F1" w:rsidRPr="005640F1" w:rsidTr="005707D7">
        <w:trPr>
          <w:trHeight w:val="255"/>
        </w:trPr>
        <w:tc>
          <w:tcPr>
            <w:tcW w:w="250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Total working days</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sz w:val="20"/>
                <w:szCs w:val="20"/>
                <w:lang w:eastAsia="en-GB"/>
              </w:rPr>
            </w:pPr>
            <w:r w:rsidRPr="005640F1">
              <w:rPr>
                <w:rFonts w:eastAsia="Times New Roman" w:cs="Arial"/>
                <w:sz w:val="20"/>
                <w:szCs w:val="20"/>
                <w:lang w:eastAsia="en-GB"/>
              </w:rPr>
              <w:t>214</w:t>
            </w:r>
          </w:p>
        </w:tc>
      </w:tr>
      <w:tr w:rsidR="005640F1" w:rsidRPr="005640F1" w:rsidTr="005707D7">
        <w:trPr>
          <w:trHeight w:val="270"/>
        </w:trPr>
        <w:tc>
          <w:tcPr>
            <w:tcW w:w="2500" w:type="dxa"/>
            <w:shd w:val="clear" w:color="auto" w:fill="auto"/>
            <w:noWrap/>
            <w:vAlign w:val="bottom"/>
            <w:hideMark/>
          </w:tcPr>
          <w:p w:rsidR="005640F1" w:rsidRPr="005640F1" w:rsidRDefault="005640F1" w:rsidP="009B0E7D">
            <w:pPr>
              <w:spacing w:after="0" w:line="240" w:lineRule="auto"/>
              <w:jc w:val="both"/>
              <w:rPr>
                <w:rFonts w:eastAsia="Times New Roman" w:cs="Arial"/>
                <w:b/>
                <w:bCs/>
                <w:sz w:val="20"/>
                <w:szCs w:val="20"/>
                <w:lang w:eastAsia="en-GB"/>
              </w:rPr>
            </w:pPr>
            <w:r w:rsidRPr="005640F1">
              <w:rPr>
                <w:rFonts w:eastAsia="Times New Roman" w:cs="Arial"/>
                <w:b/>
                <w:bCs/>
                <w:sz w:val="20"/>
                <w:szCs w:val="20"/>
                <w:lang w:eastAsia="en-GB"/>
              </w:rPr>
              <w:t>Total Hours</w:t>
            </w:r>
            <w:r w:rsidR="00690BE2">
              <w:rPr>
                <w:rFonts w:eastAsia="Times New Roman" w:cs="Arial"/>
                <w:b/>
                <w:bCs/>
                <w:sz w:val="20"/>
                <w:szCs w:val="20"/>
                <w:lang w:eastAsia="en-GB"/>
              </w:rPr>
              <w:t xml:space="preserve"> per year</w:t>
            </w:r>
          </w:p>
        </w:tc>
        <w:tc>
          <w:tcPr>
            <w:tcW w:w="1460" w:type="dxa"/>
            <w:shd w:val="clear" w:color="auto" w:fill="auto"/>
            <w:noWrap/>
            <w:vAlign w:val="bottom"/>
            <w:hideMark/>
          </w:tcPr>
          <w:p w:rsidR="005640F1" w:rsidRPr="005640F1" w:rsidRDefault="005640F1" w:rsidP="009B0E7D">
            <w:pPr>
              <w:spacing w:after="0" w:line="240" w:lineRule="auto"/>
              <w:jc w:val="both"/>
              <w:rPr>
                <w:rFonts w:eastAsia="Times New Roman" w:cs="Arial"/>
                <w:b/>
                <w:bCs/>
                <w:sz w:val="20"/>
                <w:szCs w:val="20"/>
                <w:lang w:eastAsia="en-GB"/>
              </w:rPr>
            </w:pPr>
            <w:r w:rsidRPr="005640F1">
              <w:rPr>
                <w:rFonts w:eastAsia="Times New Roman" w:cs="Arial"/>
                <w:b/>
                <w:bCs/>
                <w:sz w:val="20"/>
                <w:szCs w:val="20"/>
                <w:lang w:eastAsia="en-GB"/>
              </w:rPr>
              <w:t>1605</w:t>
            </w:r>
          </w:p>
        </w:tc>
      </w:tr>
    </w:tbl>
    <w:p w:rsidR="005640F1" w:rsidRDefault="005640F1" w:rsidP="009B0E7D">
      <w:pPr>
        <w:jc w:val="both"/>
        <w:rPr>
          <w:sz w:val="20"/>
          <w:szCs w:val="20"/>
        </w:rPr>
      </w:pPr>
    </w:p>
    <w:p w:rsidR="009B0E7D" w:rsidRDefault="005707D7" w:rsidP="009B0E7D">
      <w:pPr>
        <w:spacing w:after="0" w:line="240" w:lineRule="auto"/>
        <w:jc w:val="both"/>
        <w:rPr>
          <w:b/>
          <w:sz w:val="20"/>
          <w:szCs w:val="20"/>
        </w:rPr>
      </w:pPr>
      <w:r w:rsidRPr="005707D7">
        <w:rPr>
          <w:b/>
          <w:sz w:val="20"/>
          <w:szCs w:val="20"/>
        </w:rPr>
        <w:t>Ineligible costs</w:t>
      </w:r>
    </w:p>
    <w:p w:rsidR="005707D7" w:rsidRDefault="00AB04D2" w:rsidP="009B0E7D">
      <w:pPr>
        <w:spacing w:after="0" w:line="240" w:lineRule="auto"/>
        <w:jc w:val="both"/>
        <w:rPr>
          <w:sz w:val="20"/>
          <w:szCs w:val="20"/>
        </w:rPr>
      </w:pPr>
      <w:r>
        <w:rPr>
          <w:sz w:val="20"/>
          <w:szCs w:val="20"/>
        </w:rPr>
        <w:t>The Grant Agreement provides details of the ineligible costs and one of the</w:t>
      </w:r>
      <w:r w:rsidR="005707D7">
        <w:rPr>
          <w:sz w:val="20"/>
          <w:szCs w:val="20"/>
        </w:rPr>
        <w:t xml:space="preserve"> most important </w:t>
      </w:r>
      <w:r>
        <w:rPr>
          <w:sz w:val="20"/>
          <w:szCs w:val="20"/>
        </w:rPr>
        <w:t xml:space="preserve">to be aware of is </w:t>
      </w:r>
      <w:r w:rsidR="005707D7">
        <w:rPr>
          <w:sz w:val="20"/>
          <w:szCs w:val="20"/>
        </w:rPr>
        <w:t>VAT. UK VAT can be identified in Agresso and will be excluded from any claim made</w:t>
      </w:r>
      <w:r>
        <w:rPr>
          <w:sz w:val="20"/>
          <w:szCs w:val="20"/>
        </w:rPr>
        <w:t xml:space="preserve"> to the Commission</w:t>
      </w:r>
      <w:r w:rsidR="005707D7">
        <w:rPr>
          <w:sz w:val="20"/>
          <w:szCs w:val="20"/>
        </w:rPr>
        <w:t>. However, identification of non-UK VAT is m</w:t>
      </w:r>
      <w:r w:rsidR="009B0E7D">
        <w:rPr>
          <w:sz w:val="20"/>
          <w:szCs w:val="20"/>
        </w:rPr>
        <w:t xml:space="preserve">ore difficult. Non-UK VAT is likely to be included in certain types of travel or subsistence expenses. When the travel expenses are reclaimed via the University expense claim form any identifiable tax shown on the receipts should be coded separately to account code </w:t>
      </w:r>
      <w:r w:rsidR="009B0E7D" w:rsidRPr="00690BE2">
        <w:rPr>
          <w:b/>
          <w:sz w:val="20"/>
          <w:szCs w:val="20"/>
        </w:rPr>
        <w:t>1715</w:t>
      </w:r>
      <w:r w:rsidR="009B0E7D">
        <w:rPr>
          <w:sz w:val="20"/>
          <w:szCs w:val="20"/>
        </w:rPr>
        <w:t>.</w:t>
      </w:r>
      <w:r w:rsidR="0048198B">
        <w:rPr>
          <w:sz w:val="20"/>
          <w:szCs w:val="20"/>
        </w:rPr>
        <w:t xml:space="preserve"> When a </w:t>
      </w:r>
      <w:r w:rsidR="00690BE2">
        <w:rPr>
          <w:sz w:val="20"/>
          <w:szCs w:val="20"/>
        </w:rPr>
        <w:t xml:space="preserve">cost statement </w:t>
      </w:r>
      <w:r w:rsidR="0048198B">
        <w:rPr>
          <w:sz w:val="20"/>
          <w:szCs w:val="20"/>
        </w:rPr>
        <w:t xml:space="preserve">for reimbursement of expenditure is then prepared for the project any non-UK VAT/taxes can be easily identified </w:t>
      </w:r>
      <w:r w:rsidR="00690BE2">
        <w:rPr>
          <w:sz w:val="20"/>
          <w:szCs w:val="20"/>
        </w:rPr>
        <w:t xml:space="preserve">as it will appear in Agresso under this account code </w:t>
      </w:r>
      <w:r w:rsidR="0048198B">
        <w:rPr>
          <w:sz w:val="20"/>
          <w:szCs w:val="20"/>
        </w:rPr>
        <w:t xml:space="preserve">and </w:t>
      </w:r>
      <w:r w:rsidR="00690BE2">
        <w:rPr>
          <w:sz w:val="20"/>
          <w:szCs w:val="20"/>
        </w:rPr>
        <w:t xml:space="preserve">so can then be </w:t>
      </w:r>
      <w:r w:rsidR="0048198B">
        <w:rPr>
          <w:sz w:val="20"/>
          <w:szCs w:val="20"/>
        </w:rPr>
        <w:t>excluded from our claim.</w:t>
      </w:r>
    </w:p>
    <w:p w:rsidR="00AB04D2" w:rsidRDefault="00AB04D2" w:rsidP="009B0E7D">
      <w:pPr>
        <w:spacing w:after="0" w:line="240" w:lineRule="auto"/>
        <w:jc w:val="both"/>
        <w:rPr>
          <w:sz w:val="20"/>
          <w:szCs w:val="20"/>
        </w:rPr>
      </w:pPr>
    </w:p>
    <w:p w:rsidR="0075657F" w:rsidRPr="00AB04D2" w:rsidRDefault="0075657F" w:rsidP="009B0E7D">
      <w:pPr>
        <w:spacing w:after="0" w:line="240" w:lineRule="auto"/>
        <w:jc w:val="both"/>
        <w:rPr>
          <w:b/>
          <w:sz w:val="20"/>
          <w:szCs w:val="20"/>
        </w:rPr>
      </w:pPr>
      <w:r w:rsidRPr="00AB04D2">
        <w:rPr>
          <w:b/>
          <w:sz w:val="20"/>
          <w:szCs w:val="20"/>
        </w:rPr>
        <w:t>Travel Expenses</w:t>
      </w:r>
    </w:p>
    <w:p w:rsidR="003E6F86" w:rsidRDefault="00AB04D2" w:rsidP="009B0E7D">
      <w:pPr>
        <w:jc w:val="both"/>
        <w:rPr>
          <w:sz w:val="20"/>
          <w:szCs w:val="20"/>
        </w:rPr>
      </w:pPr>
      <w:r>
        <w:rPr>
          <w:sz w:val="20"/>
          <w:szCs w:val="20"/>
        </w:rPr>
        <w:t>As noted in the paragraph above</w:t>
      </w:r>
      <w:r w:rsidR="003E6F86">
        <w:rPr>
          <w:sz w:val="20"/>
          <w:szCs w:val="20"/>
        </w:rPr>
        <w:t>,</w:t>
      </w:r>
      <w:r>
        <w:rPr>
          <w:sz w:val="20"/>
          <w:szCs w:val="20"/>
        </w:rPr>
        <w:t xml:space="preserve"> identification of non-UK VAT is necessary on travel expenses. It is also important that there is evidence </w:t>
      </w:r>
      <w:r w:rsidR="00972423">
        <w:rPr>
          <w:sz w:val="20"/>
          <w:szCs w:val="20"/>
        </w:rPr>
        <w:t xml:space="preserve">to support that </w:t>
      </w:r>
      <w:r w:rsidR="003E6F86">
        <w:rPr>
          <w:sz w:val="20"/>
          <w:szCs w:val="20"/>
        </w:rPr>
        <w:t>the travel for which costs have been charged to the project account actually</w:t>
      </w:r>
      <w:r w:rsidR="00972423">
        <w:rPr>
          <w:sz w:val="20"/>
          <w:szCs w:val="20"/>
        </w:rPr>
        <w:t xml:space="preserve"> took place</w:t>
      </w:r>
      <w:r w:rsidR="003E6F86">
        <w:rPr>
          <w:sz w:val="20"/>
          <w:szCs w:val="20"/>
        </w:rPr>
        <w:t xml:space="preserve"> </w:t>
      </w:r>
      <w:r w:rsidR="00690BE2">
        <w:rPr>
          <w:sz w:val="20"/>
          <w:szCs w:val="20"/>
        </w:rPr>
        <w:t>and was for the purpose</w:t>
      </w:r>
      <w:r w:rsidR="003E6F86">
        <w:rPr>
          <w:sz w:val="20"/>
          <w:szCs w:val="20"/>
        </w:rPr>
        <w:t xml:space="preserve"> of the project</w:t>
      </w:r>
      <w:r w:rsidR="00972423">
        <w:rPr>
          <w:sz w:val="20"/>
          <w:szCs w:val="20"/>
        </w:rPr>
        <w:t xml:space="preserve">. Providing supporting documentation to prove that a trip was </w:t>
      </w:r>
      <w:r w:rsidR="003E6F86">
        <w:rPr>
          <w:sz w:val="20"/>
          <w:szCs w:val="20"/>
        </w:rPr>
        <w:t xml:space="preserve">necessary and </w:t>
      </w:r>
      <w:r w:rsidR="00972423">
        <w:rPr>
          <w:sz w:val="20"/>
          <w:szCs w:val="20"/>
        </w:rPr>
        <w:t xml:space="preserve">actually undertaken for the purpose of the project could include </w:t>
      </w:r>
      <w:r w:rsidR="003E6F86">
        <w:rPr>
          <w:sz w:val="20"/>
          <w:szCs w:val="20"/>
        </w:rPr>
        <w:t>the following:</w:t>
      </w:r>
    </w:p>
    <w:p w:rsidR="003E6F86" w:rsidRDefault="00972423" w:rsidP="003E6F86">
      <w:pPr>
        <w:pStyle w:val="ListParagraph"/>
        <w:numPr>
          <w:ilvl w:val="0"/>
          <w:numId w:val="1"/>
        </w:numPr>
        <w:jc w:val="both"/>
        <w:rPr>
          <w:sz w:val="20"/>
          <w:szCs w:val="20"/>
        </w:rPr>
      </w:pPr>
      <w:r w:rsidRPr="003E6F86">
        <w:rPr>
          <w:sz w:val="20"/>
          <w:szCs w:val="20"/>
        </w:rPr>
        <w:t>keeping the b</w:t>
      </w:r>
      <w:r w:rsidR="0075657F" w:rsidRPr="003E6F86">
        <w:rPr>
          <w:sz w:val="20"/>
          <w:szCs w:val="20"/>
        </w:rPr>
        <w:t>oarding cards</w:t>
      </w:r>
      <w:r w:rsidRPr="003E6F86">
        <w:rPr>
          <w:sz w:val="20"/>
          <w:szCs w:val="20"/>
        </w:rPr>
        <w:t xml:space="preserve"> for flights</w:t>
      </w:r>
    </w:p>
    <w:p w:rsidR="003E6F86" w:rsidRDefault="00972423" w:rsidP="003E6F86">
      <w:pPr>
        <w:pStyle w:val="ListParagraph"/>
        <w:numPr>
          <w:ilvl w:val="0"/>
          <w:numId w:val="1"/>
        </w:numPr>
        <w:jc w:val="both"/>
        <w:rPr>
          <w:sz w:val="20"/>
          <w:szCs w:val="20"/>
        </w:rPr>
      </w:pPr>
      <w:r w:rsidRPr="003E6F86">
        <w:rPr>
          <w:sz w:val="20"/>
          <w:szCs w:val="20"/>
        </w:rPr>
        <w:t>meeting agendas</w:t>
      </w:r>
    </w:p>
    <w:p w:rsidR="003E6F86" w:rsidRDefault="00972423" w:rsidP="003E6F86">
      <w:pPr>
        <w:pStyle w:val="ListParagraph"/>
        <w:numPr>
          <w:ilvl w:val="0"/>
          <w:numId w:val="1"/>
        </w:numPr>
        <w:jc w:val="both"/>
        <w:rPr>
          <w:sz w:val="20"/>
          <w:szCs w:val="20"/>
        </w:rPr>
      </w:pPr>
      <w:r w:rsidRPr="003E6F86">
        <w:rPr>
          <w:sz w:val="20"/>
          <w:szCs w:val="20"/>
        </w:rPr>
        <w:t>attendance list and minutes of meetings</w:t>
      </w:r>
    </w:p>
    <w:p w:rsidR="003E6F86" w:rsidRDefault="00972423" w:rsidP="003E6F86">
      <w:pPr>
        <w:pStyle w:val="ListParagraph"/>
        <w:numPr>
          <w:ilvl w:val="0"/>
          <w:numId w:val="1"/>
        </w:numPr>
        <w:jc w:val="both"/>
        <w:rPr>
          <w:sz w:val="20"/>
          <w:szCs w:val="20"/>
        </w:rPr>
      </w:pPr>
      <w:r w:rsidRPr="003E6F86">
        <w:rPr>
          <w:sz w:val="20"/>
          <w:szCs w:val="20"/>
        </w:rPr>
        <w:t>email correspondence with the coordinator/partner hosting the meeting</w:t>
      </w:r>
    </w:p>
    <w:p w:rsidR="0075657F" w:rsidRDefault="00972423" w:rsidP="003E6F86">
      <w:pPr>
        <w:jc w:val="both"/>
        <w:rPr>
          <w:sz w:val="20"/>
          <w:szCs w:val="20"/>
        </w:rPr>
      </w:pPr>
      <w:r w:rsidRPr="003E6F86">
        <w:rPr>
          <w:sz w:val="20"/>
          <w:szCs w:val="20"/>
        </w:rPr>
        <w:t xml:space="preserve">This is not an exhaustive list and there may be other </w:t>
      </w:r>
      <w:r w:rsidR="003E6F86">
        <w:rPr>
          <w:sz w:val="20"/>
          <w:szCs w:val="20"/>
        </w:rPr>
        <w:t xml:space="preserve">types of </w:t>
      </w:r>
      <w:r w:rsidRPr="003E6F86">
        <w:rPr>
          <w:sz w:val="20"/>
          <w:szCs w:val="20"/>
        </w:rPr>
        <w:t>evidence</w:t>
      </w:r>
      <w:r w:rsidR="003E6F86">
        <w:rPr>
          <w:sz w:val="20"/>
          <w:szCs w:val="20"/>
        </w:rPr>
        <w:t xml:space="preserve"> or supporting documentation</w:t>
      </w:r>
      <w:r w:rsidRPr="003E6F86">
        <w:rPr>
          <w:sz w:val="20"/>
          <w:szCs w:val="20"/>
        </w:rPr>
        <w:t xml:space="preserve"> to prove that the travel was for project purposes.</w:t>
      </w:r>
      <w:r w:rsidR="003E6F86">
        <w:rPr>
          <w:sz w:val="20"/>
          <w:szCs w:val="20"/>
        </w:rPr>
        <w:t xml:space="preserve"> It is important that this information is recorded and kept by the PI in the event that it may be requested during an audit.</w:t>
      </w:r>
    </w:p>
    <w:p w:rsidR="003E6F86" w:rsidRPr="003E6F86" w:rsidRDefault="008C0E05" w:rsidP="003E6F86">
      <w:pPr>
        <w:jc w:val="both"/>
        <w:rPr>
          <w:sz w:val="20"/>
          <w:szCs w:val="20"/>
        </w:rPr>
      </w:pPr>
      <w:r>
        <w:rPr>
          <w:sz w:val="20"/>
          <w:szCs w:val="20"/>
        </w:rPr>
        <w:t>Occasionally</w:t>
      </w:r>
      <w:r w:rsidR="003E6F86">
        <w:rPr>
          <w:sz w:val="20"/>
          <w:szCs w:val="20"/>
        </w:rPr>
        <w:t xml:space="preserve"> travel costs are charged to the project account but then for some reason the trip </w:t>
      </w:r>
      <w:r>
        <w:rPr>
          <w:sz w:val="20"/>
          <w:szCs w:val="20"/>
        </w:rPr>
        <w:t xml:space="preserve">is cancelled and travel does not take place. In </w:t>
      </w:r>
      <w:r w:rsidR="00690BE2">
        <w:rPr>
          <w:sz w:val="20"/>
          <w:szCs w:val="20"/>
        </w:rPr>
        <w:t xml:space="preserve">such </w:t>
      </w:r>
      <w:r>
        <w:rPr>
          <w:sz w:val="20"/>
          <w:szCs w:val="20"/>
        </w:rPr>
        <w:t xml:space="preserve">cases  </w:t>
      </w:r>
      <w:r w:rsidR="003E6F86">
        <w:rPr>
          <w:sz w:val="20"/>
          <w:szCs w:val="20"/>
        </w:rPr>
        <w:t>it is important that these costs, for example non-refundable flights, are identified and subsequently charged elsewhere so as to avoid claiming for the</w:t>
      </w:r>
      <w:r w:rsidR="00690BE2">
        <w:rPr>
          <w:sz w:val="20"/>
          <w:szCs w:val="20"/>
        </w:rPr>
        <w:t>se non-eligible</w:t>
      </w:r>
      <w:r w:rsidR="003E6F86">
        <w:rPr>
          <w:sz w:val="20"/>
          <w:szCs w:val="20"/>
        </w:rPr>
        <w:t xml:space="preserve"> costs on the next cost statement.</w:t>
      </w:r>
    </w:p>
    <w:p w:rsidR="00972423" w:rsidRDefault="00972423" w:rsidP="00972423">
      <w:pPr>
        <w:spacing w:after="0" w:line="240" w:lineRule="auto"/>
        <w:jc w:val="both"/>
        <w:rPr>
          <w:sz w:val="20"/>
          <w:szCs w:val="20"/>
        </w:rPr>
      </w:pPr>
      <w:r>
        <w:rPr>
          <w:sz w:val="20"/>
          <w:szCs w:val="20"/>
        </w:rPr>
        <w:t xml:space="preserve">Often hotels are booked and paid for </w:t>
      </w:r>
      <w:r w:rsidR="008C0E05">
        <w:rPr>
          <w:sz w:val="20"/>
          <w:szCs w:val="20"/>
        </w:rPr>
        <w:t xml:space="preserve">in advance </w:t>
      </w:r>
      <w:r>
        <w:rPr>
          <w:sz w:val="20"/>
          <w:szCs w:val="20"/>
        </w:rPr>
        <w:t xml:space="preserve">via the internet. </w:t>
      </w:r>
      <w:r w:rsidR="008C0E05">
        <w:rPr>
          <w:sz w:val="20"/>
          <w:szCs w:val="20"/>
        </w:rPr>
        <w:t xml:space="preserve">In this case there is a record that the booking was made and paid for but not that the stay actually took place. </w:t>
      </w:r>
      <w:r w:rsidR="00690BE2">
        <w:rPr>
          <w:sz w:val="20"/>
          <w:szCs w:val="20"/>
        </w:rPr>
        <w:t>When checking out after a hotel stay i</w:t>
      </w:r>
      <w:r>
        <w:rPr>
          <w:sz w:val="20"/>
          <w:szCs w:val="20"/>
        </w:rPr>
        <w:t>t is important that an invoice</w:t>
      </w:r>
      <w:r w:rsidR="008C0E05">
        <w:rPr>
          <w:sz w:val="20"/>
          <w:szCs w:val="20"/>
        </w:rPr>
        <w:t xml:space="preserve"> is requested </w:t>
      </w:r>
      <w:r>
        <w:rPr>
          <w:sz w:val="20"/>
          <w:szCs w:val="20"/>
        </w:rPr>
        <w:t xml:space="preserve">as this is </w:t>
      </w:r>
      <w:r w:rsidR="00690BE2">
        <w:rPr>
          <w:sz w:val="20"/>
          <w:szCs w:val="20"/>
        </w:rPr>
        <w:t xml:space="preserve">the </w:t>
      </w:r>
      <w:r>
        <w:rPr>
          <w:sz w:val="20"/>
          <w:szCs w:val="20"/>
        </w:rPr>
        <w:t>evidence that the booking was</w:t>
      </w:r>
      <w:r w:rsidR="00690BE2">
        <w:rPr>
          <w:sz w:val="20"/>
          <w:szCs w:val="20"/>
        </w:rPr>
        <w:t xml:space="preserve"> actually used on the original</w:t>
      </w:r>
      <w:r>
        <w:rPr>
          <w:sz w:val="20"/>
          <w:szCs w:val="20"/>
        </w:rPr>
        <w:t xml:space="preserve"> </w:t>
      </w:r>
      <w:r w:rsidR="008C0E05">
        <w:rPr>
          <w:sz w:val="20"/>
          <w:szCs w:val="20"/>
        </w:rPr>
        <w:t>date</w:t>
      </w:r>
      <w:r>
        <w:rPr>
          <w:sz w:val="20"/>
          <w:szCs w:val="20"/>
        </w:rPr>
        <w:t>.</w:t>
      </w:r>
    </w:p>
    <w:p w:rsidR="00972423" w:rsidRPr="005640F1" w:rsidRDefault="00972423" w:rsidP="00972423">
      <w:pPr>
        <w:spacing w:after="0" w:line="240" w:lineRule="auto"/>
        <w:jc w:val="both"/>
        <w:rPr>
          <w:sz w:val="20"/>
          <w:szCs w:val="20"/>
        </w:rPr>
      </w:pPr>
    </w:p>
    <w:p w:rsidR="0075657F" w:rsidRPr="005640F1" w:rsidRDefault="0075657F" w:rsidP="009B0E7D">
      <w:pPr>
        <w:jc w:val="both"/>
        <w:rPr>
          <w:sz w:val="20"/>
          <w:szCs w:val="20"/>
        </w:rPr>
      </w:pPr>
    </w:p>
    <w:p w:rsidR="0075657F" w:rsidRDefault="006C6164">
      <w:r>
        <w:t>The RSO provides advice and support for research projects so please do not hesitate to contact the office if you need clarification on any of these points.</w:t>
      </w:r>
    </w:p>
    <w:sectPr w:rsidR="0075657F" w:rsidSect="004B2CEC">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2B3" w:rsidRDefault="006332B3" w:rsidP="006332B3">
      <w:pPr>
        <w:spacing w:after="0" w:line="240" w:lineRule="auto"/>
      </w:pPr>
      <w:r>
        <w:separator/>
      </w:r>
    </w:p>
  </w:endnote>
  <w:endnote w:type="continuationSeparator" w:id="0">
    <w:p w:rsidR="006332B3" w:rsidRDefault="006332B3" w:rsidP="00633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90" w:rsidRDefault="00EB0390">
    <w:pPr>
      <w:pStyle w:val="Footer"/>
    </w:pPr>
    <w:r>
      <w:t xml:space="preserve">Research Support Office </w:t>
    </w:r>
    <w:sdt>
      <w:sdtPr>
        <w:alias w:val="Publish Date"/>
        <w:id w:val="30100938"/>
        <w:placeholder>
          <w:docPart w:val="BCFBC967999746199A6B52537E8E9B08"/>
        </w:placeholder>
        <w:dataBinding w:prefixMappings="xmlns:ns0='http://schemas.microsoft.com/office/2006/coverPageProps' " w:xpath="/ns0:CoverPageProperties[1]/ns0:PublishDate[1]" w:storeItemID="{55AF091B-3C7A-41E3-B477-F2FDAA23CFDA}"/>
        <w:date w:fullDate="2010-12-21T00:00:00Z">
          <w:dateFormat w:val="dd/MM/yyyy"/>
          <w:lid w:val="en-GB"/>
          <w:storeMappedDataAs w:val="dateTime"/>
          <w:calendar w:val="gregorian"/>
        </w:date>
      </w:sdtPr>
      <w:sdtContent>
        <w:r>
          <w:t>21/12/2010</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2B3" w:rsidRDefault="006332B3" w:rsidP="006332B3">
      <w:pPr>
        <w:spacing w:after="0" w:line="240" w:lineRule="auto"/>
      </w:pPr>
      <w:r>
        <w:separator/>
      </w:r>
    </w:p>
  </w:footnote>
  <w:footnote w:type="continuationSeparator" w:id="0">
    <w:p w:rsidR="006332B3" w:rsidRDefault="006332B3" w:rsidP="006332B3">
      <w:pPr>
        <w:spacing w:after="0" w:line="240" w:lineRule="auto"/>
      </w:pPr>
      <w:r>
        <w:continuationSeparator/>
      </w:r>
    </w:p>
  </w:footnote>
  <w:footnote w:id="1">
    <w:p w:rsidR="00690BE2" w:rsidRDefault="00690BE2" w:rsidP="00690BE2">
      <w:pPr>
        <w:pStyle w:val="FootnoteText"/>
      </w:pPr>
      <w:r>
        <w:rPr>
          <w:rStyle w:val="FootnoteReference"/>
        </w:rPr>
        <w:footnoteRef/>
      </w:r>
      <w:r>
        <w:t xml:space="preserve"> This applied to FP 7 and possible future framework programmes.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F2C4C"/>
    <w:multiLevelType w:val="hybridMultilevel"/>
    <w:tmpl w:val="506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75657F"/>
    <w:rsid w:val="00040FA1"/>
    <w:rsid w:val="000F031D"/>
    <w:rsid w:val="00100D09"/>
    <w:rsid w:val="00161109"/>
    <w:rsid w:val="002A10E5"/>
    <w:rsid w:val="003E6312"/>
    <w:rsid w:val="003E6F86"/>
    <w:rsid w:val="00453A3F"/>
    <w:rsid w:val="0048198B"/>
    <w:rsid w:val="004B2CEC"/>
    <w:rsid w:val="00530FB7"/>
    <w:rsid w:val="005452CC"/>
    <w:rsid w:val="005640F1"/>
    <w:rsid w:val="005707D7"/>
    <w:rsid w:val="006332B3"/>
    <w:rsid w:val="00690BE2"/>
    <w:rsid w:val="006C6164"/>
    <w:rsid w:val="006F54D8"/>
    <w:rsid w:val="0075657F"/>
    <w:rsid w:val="008C0E05"/>
    <w:rsid w:val="008D1BB8"/>
    <w:rsid w:val="00972423"/>
    <w:rsid w:val="009B0E7D"/>
    <w:rsid w:val="00A27429"/>
    <w:rsid w:val="00AB04D2"/>
    <w:rsid w:val="00AB54FA"/>
    <w:rsid w:val="00C56B36"/>
    <w:rsid w:val="00EB0390"/>
    <w:rsid w:val="00F27955"/>
    <w:rsid w:val="00FF1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A3F"/>
    <w:rPr>
      <w:color w:val="0000FF" w:themeColor="hyperlink"/>
      <w:u w:val="single"/>
    </w:rPr>
  </w:style>
  <w:style w:type="paragraph" w:styleId="ListParagraph">
    <w:name w:val="List Paragraph"/>
    <w:basedOn w:val="Normal"/>
    <w:uiPriority w:val="34"/>
    <w:qFormat/>
    <w:rsid w:val="003E6F86"/>
    <w:pPr>
      <w:ind w:left="720"/>
      <w:contextualSpacing/>
    </w:pPr>
  </w:style>
  <w:style w:type="paragraph" w:styleId="FootnoteText">
    <w:name w:val="footnote text"/>
    <w:basedOn w:val="Normal"/>
    <w:link w:val="FootnoteTextChar"/>
    <w:uiPriority w:val="99"/>
    <w:semiHidden/>
    <w:unhideWhenUsed/>
    <w:rsid w:val="00633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2B3"/>
    <w:rPr>
      <w:sz w:val="20"/>
      <w:szCs w:val="20"/>
    </w:rPr>
  </w:style>
  <w:style w:type="character" w:styleId="FootnoteReference">
    <w:name w:val="footnote reference"/>
    <w:basedOn w:val="DefaultParagraphFont"/>
    <w:uiPriority w:val="99"/>
    <w:semiHidden/>
    <w:unhideWhenUsed/>
    <w:rsid w:val="006332B3"/>
    <w:rPr>
      <w:vertAlign w:val="superscript"/>
    </w:rPr>
  </w:style>
  <w:style w:type="paragraph" w:styleId="Header">
    <w:name w:val="header"/>
    <w:basedOn w:val="Normal"/>
    <w:link w:val="HeaderChar"/>
    <w:uiPriority w:val="99"/>
    <w:semiHidden/>
    <w:unhideWhenUsed/>
    <w:rsid w:val="00EB03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0390"/>
  </w:style>
  <w:style w:type="paragraph" w:styleId="Footer">
    <w:name w:val="footer"/>
    <w:basedOn w:val="Normal"/>
    <w:link w:val="FooterChar"/>
    <w:uiPriority w:val="99"/>
    <w:semiHidden/>
    <w:unhideWhenUsed/>
    <w:rsid w:val="00EB03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0390"/>
  </w:style>
  <w:style w:type="character" w:styleId="PlaceholderText">
    <w:name w:val="Placeholder Text"/>
    <w:basedOn w:val="DefaultParagraphFont"/>
    <w:uiPriority w:val="99"/>
    <w:semiHidden/>
    <w:rsid w:val="00EB0390"/>
    <w:rPr>
      <w:color w:val="808080"/>
    </w:rPr>
  </w:style>
  <w:style w:type="paragraph" w:styleId="BalloonText">
    <w:name w:val="Balloon Text"/>
    <w:basedOn w:val="Normal"/>
    <w:link w:val="BalloonTextChar"/>
    <w:uiPriority w:val="99"/>
    <w:semiHidden/>
    <w:unhideWhenUsed/>
    <w:rsid w:val="00EB0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82331">
      <w:bodyDiv w:val="1"/>
      <w:marLeft w:val="0"/>
      <w:marRight w:val="0"/>
      <w:marTop w:val="0"/>
      <w:marBottom w:val="0"/>
      <w:divBdr>
        <w:top w:val="none" w:sz="0" w:space="0" w:color="auto"/>
        <w:left w:val="none" w:sz="0" w:space="0" w:color="auto"/>
        <w:bottom w:val="none" w:sz="0" w:space="0" w:color="auto"/>
        <w:right w:val="none" w:sz="0" w:space="0" w:color="auto"/>
      </w:divBdr>
    </w:div>
    <w:div w:id="18084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ancs.ac.uk/depts/research/lancaster/form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FBC967999746199A6B52537E8E9B08"/>
        <w:category>
          <w:name w:val="General"/>
          <w:gallery w:val="placeholder"/>
        </w:category>
        <w:types>
          <w:type w:val="bbPlcHdr"/>
        </w:types>
        <w:behaviors>
          <w:behavior w:val="content"/>
        </w:behaviors>
        <w:guid w:val="{29998AA4-75E1-49D6-86FE-22975C5C39B9}"/>
      </w:docPartPr>
      <w:docPartBody>
        <w:p w:rsidR="00000000" w:rsidRDefault="00D0692E">
          <w:r w:rsidRPr="00144786">
            <w:rPr>
              <w:rStyle w:val="PlaceholderText"/>
            </w:rPr>
            <w:t>[Publish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D0692E"/>
    <w:rsid w:val="00D069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92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25E91-E884-4CAD-8963-E5EED169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Fox</cp:lastModifiedBy>
  <cp:revision>9</cp:revision>
  <dcterms:created xsi:type="dcterms:W3CDTF">2010-10-12T15:32:00Z</dcterms:created>
  <dcterms:modified xsi:type="dcterms:W3CDTF">2010-12-21T17:05:00Z</dcterms:modified>
</cp:coreProperties>
</file>